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82" w:rsidRPr="00370A56" w:rsidRDefault="00DE537B" w:rsidP="00135182">
      <w:pPr>
        <w:spacing w:line="360" w:lineRule="auto"/>
        <w:jc w:val="center"/>
        <w:rPr>
          <w:rFonts w:ascii="Book Antiqua" w:hAnsi="Book Antiqua"/>
          <w:b/>
          <w:bCs/>
          <w:sz w:val="24"/>
          <w:szCs w:val="24"/>
          <w:u w:val="single"/>
        </w:rPr>
      </w:pPr>
      <w:r>
        <w:rPr>
          <w:rFonts w:ascii="Book Antiqua" w:hAnsi="Book Antiqua"/>
          <w:b/>
          <w:bCs/>
          <w:sz w:val="24"/>
          <w:szCs w:val="24"/>
          <w:u w:val="single"/>
        </w:rPr>
        <w:t>PROPOSTA DE PREÇOS</w:t>
      </w:r>
    </w:p>
    <w:p w:rsidR="00135182" w:rsidRPr="00370A56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>RAZÃO SOCIAL:</w:t>
      </w:r>
    </w:p>
    <w:p w:rsidR="00135182" w:rsidRPr="00370A56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>CNPJ Nº:</w:t>
      </w:r>
      <w:bookmarkStart w:id="0" w:name="_GoBack"/>
      <w:bookmarkEnd w:id="0"/>
    </w:p>
    <w:p w:rsidR="00135182" w:rsidRPr="00370A56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>ENDEREÇO:</w:t>
      </w:r>
    </w:p>
    <w:p w:rsidR="00135182" w:rsidRPr="00370A56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>BAIRRO:</w:t>
      </w:r>
    </w:p>
    <w:p w:rsidR="00135182" w:rsidRPr="00370A56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>CIDADE/ESTADO:</w:t>
      </w:r>
    </w:p>
    <w:p w:rsidR="00135182" w:rsidRDefault="00135182" w:rsidP="00135182">
      <w:pPr>
        <w:spacing w:line="360" w:lineRule="auto"/>
        <w:rPr>
          <w:rFonts w:ascii="Book Antiqua" w:hAnsi="Book Antiqua"/>
          <w:b/>
          <w:bCs/>
          <w:sz w:val="24"/>
          <w:szCs w:val="24"/>
        </w:rPr>
      </w:pPr>
      <w:r w:rsidRPr="00370A56">
        <w:rPr>
          <w:rFonts w:ascii="Book Antiqua" w:hAnsi="Book Antiqua"/>
          <w:b/>
          <w:bCs/>
          <w:sz w:val="24"/>
          <w:szCs w:val="24"/>
        </w:rPr>
        <w:t xml:space="preserve">E-MAIL: </w:t>
      </w:r>
    </w:p>
    <w:p w:rsidR="00135182" w:rsidRPr="00F76ADF" w:rsidRDefault="00135182" w:rsidP="00135182">
      <w:pPr>
        <w:spacing w:line="360" w:lineRule="auto"/>
        <w:jc w:val="both"/>
        <w:rPr>
          <w:rFonts w:ascii="Book Antiqua" w:hAnsi="Book Antiqua" w:cs="Arial"/>
          <w:sz w:val="24"/>
          <w:szCs w:val="24"/>
        </w:rPr>
      </w:pPr>
    </w:p>
    <w:tbl>
      <w:tblPr>
        <w:tblStyle w:val="Tabelacomgrade"/>
        <w:tblW w:w="5786" w:type="pct"/>
        <w:tblInd w:w="-572" w:type="dxa"/>
        <w:tblLook w:val="04A0" w:firstRow="1" w:lastRow="0" w:firstColumn="1" w:lastColumn="0" w:noHBand="0" w:noVBand="1"/>
      </w:tblPr>
      <w:tblGrid>
        <w:gridCol w:w="750"/>
        <w:gridCol w:w="806"/>
        <w:gridCol w:w="1229"/>
        <w:gridCol w:w="3568"/>
        <w:gridCol w:w="1528"/>
        <w:gridCol w:w="961"/>
        <w:gridCol w:w="987"/>
      </w:tblGrid>
      <w:tr w:rsidR="00E65486" w:rsidRPr="00031D09" w:rsidTr="00E65486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ITEM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QTDE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UNIDADE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ESPECIFICAÇÃO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MARCA DE REFERÊNCIA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VALOR UNIT.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rPr>
                <w:rFonts w:ascii="Book Antiqua" w:hAnsi="Book Antiqua"/>
                <w:b/>
                <w:bCs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VALOR TOTAL</w:t>
            </w:r>
          </w:p>
        </w:tc>
      </w:tr>
      <w:tr w:rsidR="00E65486" w:rsidRPr="00031D09" w:rsidTr="00E65486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jc w:val="center"/>
              <w:rPr>
                <w:rFonts w:ascii="Book Antiqua" w:hAnsi="Book Antiqua"/>
                <w:b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iCs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jc w:val="center"/>
              <w:rPr>
                <w:rFonts w:ascii="Book Antiqua" w:hAnsi="Book Antiqua"/>
                <w:b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iCs/>
                <w:sz w:val="20"/>
                <w:szCs w:val="2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182" w:rsidRPr="00031D09" w:rsidRDefault="00135182" w:rsidP="00886A3D">
            <w:pPr>
              <w:jc w:val="center"/>
              <w:rPr>
                <w:rFonts w:ascii="Book Antiqua" w:hAnsi="Book Antiqua"/>
                <w:b/>
                <w:i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iCs/>
                <w:sz w:val="20"/>
                <w:szCs w:val="20"/>
              </w:rPr>
              <w:t>Smart Tv 50</w:t>
            </w:r>
            <w:r w:rsidR="004A3415">
              <w:rPr>
                <w:rFonts w:ascii="Book Antiqua" w:hAnsi="Book Antiqua"/>
                <w:iCs/>
                <w:sz w:val="20"/>
                <w:szCs w:val="20"/>
              </w:rPr>
              <w:t>”</w:t>
            </w:r>
            <w:r w:rsidRPr="00031D09">
              <w:rPr>
                <w:rFonts w:ascii="Book Antiqua" w:hAnsi="Book Antiqua"/>
                <w:iCs/>
                <w:sz w:val="20"/>
                <w:szCs w:val="20"/>
              </w:rPr>
              <w:t xml:space="preserve"> polegadas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Tipo:</w:t>
            </w:r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proofErr w:type="spellStart"/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Smart</w:t>
            </w:r>
            <w:proofErr w:type="spellEnd"/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TV com tecnologia QLED, </w:t>
            </w:r>
            <w:proofErr w:type="spellStart"/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NanoCell</w:t>
            </w:r>
            <w:proofErr w:type="spellEnd"/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ou Crystal UHD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Tamanho da tela:</w:t>
            </w:r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50 (cinquenta) polegadas;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Resolução: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Ultra HD 4K (3840 </w:t>
            </w:r>
            <w:proofErr w:type="gramStart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x</w:t>
            </w:r>
            <w:proofErr w:type="gramEnd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2160 pixels) ou superior;  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Taxa de atualização: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mínima de 60 Hz;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Sistema operacional: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compatível com Google TV, com suporte a Google Assistente e Chromecast </w:t>
            </w:r>
            <w:proofErr w:type="spellStart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built</w:t>
            </w:r>
            <w:proofErr w:type="spellEnd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-in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Conectividade: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Mínimo de 3 (três) entradas HDMI;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Mínimo de 2 (duas) portas USB;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Entrada de vídeo compatível com sistema de câmeras de seguran</w:t>
            </w:r>
            <w:r w:rsidR="00A74FE0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ça (via HDMI, VGA ou conversor)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Conexão Wi-Fi e Bluetooth integradas;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Entrada de rede (Ethernet – RJ45);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Recursos adicionais: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Compatível com exibição contínua de imagens (uso prolongado diário);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Controle remoto incluso;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Modo de economia de energia;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Suporte para montagem em parede (VESA) ou base </w:t>
            </w:r>
            <w:r w:rsidR="00686863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compatível.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lastRenderedPageBreak/>
              <w:t>Alto-falantes integrados com potência mínima de 20W RMS (10W + 10W) ou superior;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Suporte a HDR (por exemplo HDR10+), Dolby Vision</w:t>
            </w:r>
          </w:p>
          <w:p w:rsidR="00E65486" w:rsidRPr="00E65486" w:rsidRDefault="00E65486" w:rsidP="00E65486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Voltagem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: 127 V ou Bivolt (100-240 V)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Brilho e contraste: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painel </w:t>
            </w:r>
            <w:r w:rsidR="00686863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(mínimo 300 </w:t>
            </w:r>
            <w:proofErr w:type="spellStart"/>
            <w:r w:rsidR="00686863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nits</w:t>
            </w:r>
            <w:proofErr w:type="spellEnd"/>
            <w:r w:rsidR="00686863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), adequado para ambiente iluminados.</w:t>
            </w:r>
          </w:p>
          <w:p w:rsidR="004A3415" w:rsidRPr="00E65486" w:rsidRDefault="004A3415" w:rsidP="004A3415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Garantia: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deverá possuir garantia do fabricante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contra defeitos de fabricação;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Acessórios: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cabos de alimentação, controle remoto com pilhas, manual em português e suporte de fixação (caso solicitado);</w:t>
            </w:r>
          </w:p>
          <w:p w:rsidR="00E65486" w:rsidRPr="00E65486" w:rsidRDefault="00E65486" w:rsidP="00E6548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Condição de uso: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equipamento novo, de primeiro uso, em linha de produção atual, com nota fiscal e garantia do fabricante.</w:t>
            </w:r>
          </w:p>
          <w:p w:rsidR="00135182" w:rsidRPr="00E65486" w:rsidRDefault="00135182" w:rsidP="00E65486">
            <w:pPr>
              <w:pStyle w:val="NormalWeb"/>
              <w:rPr>
                <w:rFonts w:ascii="Book Antiqua" w:hAnsi="Book Antiqu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82" w:rsidRPr="00E65486" w:rsidRDefault="00E65486" w:rsidP="00886A3D">
            <w:pPr>
              <w:jc w:val="both"/>
              <w:rPr>
                <w:rFonts w:ascii="Book Antiqua" w:hAnsi="Book Antiqua"/>
                <w:iCs/>
                <w:sz w:val="18"/>
                <w:szCs w:val="18"/>
              </w:rPr>
            </w:pPr>
            <w:r w:rsidRPr="00E65486">
              <w:rPr>
                <w:rFonts w:ascii="Book Antiqua" w:hAnsi="Book Antiqua" w:cs="Arial"/>
                <w:sz w:val="18"/>
                <w:szCs w:val="18"/>
              </w:rPr>
              <w:lastRenderedPageBreak/>
              <w:t>LG/ TCL/Sansung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82" w:rsidRPr="00031D09" w:rsidRDefault="00135182" w:rsidP="00886A3D">
            <w:pPr>
              <w:rPr>
                <w:rFonts w:ascii="Book Antiqua" w:hAnsi="Book Antiqua"/>
                <w:iCs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82" w:rsidRPr="00031D09" w:rsidRDefault="00135182" w:rsidP="00886A3D">
            <w:pPr>
              <w:rPr>
                <w:rFonts w:ascii="Book Antiqua" w:hAnsi="Book Antiqua"/>
                <w:iCs/>
                <w:sz w:val="20"/>
                <w:szCs w:val="20"/>
              </w:rPr>
            </w:pPr>
          </w:p>
        </w:tc>
      </w:tr>
      <w:tr w:rsidR="00686863" w:rsidRPr="00031D09" w:rsidTr="00E65486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jc w:val="center"/>
              <w:rPr>
                <w:rFonts w:ascii="Book Antiqua" w:hAnsi="Book Antiqua"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jc w:val="center"/>
              <w:rPr>
                <w:rFonts w:ascii="Book Antiqua" w:hAnsi="Book Antiqua"/>
                <w:iCs/>
                <w:sz w:val="20"/>
                <w:szCs w:val="20"/>
              </w:rPr>
            </w:pPr>
            <w:r w:rsidRPr="00031D09">
              <w:rPr>
                <w:rFonts w:ascii="Book Antiqua" w:hAnsi="Book Antiqua"/>
                <w:iCs/>
                <w:sz w:val="20"/>
                <w:szCs w:val="2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jc w:val="center"/>
              <w:rPr>
                <w:rFonts w:ascii="Book Antiqua" w:hAnsi="Book Antiqua"/>
                <w:iCs/>
                <w:sz w:val="20"/>
                <w:szCs w:val="20"/>
              </w:rPr>
            </w:pPr>
            <w:r>
              <w:rPr>
                <w:rFonts w:ascii="Book Antiqua" w:hAnsi="Book Antiqua"/>
                <w:iCs/>
                <w:sz w:val="20"/>
                <w:szCs w:val="20"/>
              </w:rPr>
              <w:t>Smart Tv 55</w:t>
            </w:r>
            <w:r w:rsidR="004A3415">
              <w:rPr>
                <w:rFonts w:ascii="Book Antiqua" w:hAnsi="Book Antiqua"/>
                <w:iCs/>
                <w:sz w:val="20"/>
                <w:szCs w:val="20"/>
              </w:rPr>
              <w:t>”</w:t>
            </w:r>
            <w:r w:rsidRPr="00031D09">
              <w:rPr>
                <w:rFonts w:ascii="Book Antiqua" w:hAnsi="Book Antiqua"/>
                <w:iCs/>
                <w:sz w:val="20"/>
                <w:szCs w:val="20"/>
              </w:rPr>
              <w:t xml:space="preserve"> polegadas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Tipo: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proofErr w:type="spellStart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Smart</w:t>
            </w:r>
            <w:proofErr w:type="spellEnd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TV com tecnologia QLED, </w:t>
            </w:r>
            <w:proofErr w:type="spellStart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NanoCell</w:t>
            </w:r>
            <w:proofErr w:type="spellEnd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ou Crystal UHD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Tamanho da tela: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r w:rsidR="004A3415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55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(cinquenta</w:t>
            </w:r>
            <w:r w:rsidR="004A3415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e cinco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) polegadas;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Resolução: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Ultra HD 4K (3840 </w:t>
            </w:r>
            <w:proofErr w:type="gramStart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x</w:t>
            </w:r>
            <w:proofErr w:type="gramEnd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2160 pixels) ou superior;  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Taxa de atualização: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mínima de 60 Hz;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Sistema operacional: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compatível com Google TV, com suporte a Google Assistente e Chromecast </w:t>
            </w:r>
            <w:proofErr w:type="spellStart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built</w:t>
            </w:r>
            <w:proofErr w:type="spellEnd"/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-in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Conectividade: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Mínimo de 3 (três) entradas HDMI;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Mínimo de 2 (duas) portas USB;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Entrada de vídeo compatível com sistema de câmeras de seguran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ça (via HDMI, VGA ou conversor)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Conexão Wi-Fi e Bluetooth integradas;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Entrada de rede (Ethernet – RJ45);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Recursos adicionais: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lastRenderedPageBreak/>
              <w:t>Compatível com exibição contínua de imagens (uso prolongado diário);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Controle remoto incluso;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Modo de economia de energia;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Suporte para montagem em parede (VESA) ou base 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compatível.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Alto-falantes integrados com potência mínima de 20W RMS (10W + 10W) ou superior;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Suporte a HDR (por exemplo HDR10+), Dolby Vision</w:t>
            </w:r>
          </w:p>
          <w:p w:rsidR="00686863" w:rsidRPr="00E65486" w:rsidRDefault="00686863" w:rsidP="00686863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 w:line="259" w:lineRule="auto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Voltagem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: 127 V ou Bivolt (100-240 V)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Brilho e contraste: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painel 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(mínimo 300 </w:t>
            </w:r>
            <w:proofErr w:type="spellStart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nits</w:t>
            </w:r>
            <w:proofErr w:type="spellEnd"/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), adequado para ambiente iluminados.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Garantia: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>deverá possuir garantia do fabricante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contra defeitos de fabricação;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Acessórios: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cabos de alimentação, controle remoto com pilhas, manual em português e suporte de fixação (caso solicitado);</w:t>
            </w:r>
          </w:p>
          <w:p w:rsidR="00686863" w:rsidRPr="00E65486" w:rsidRDefault="00686863" w:rsidP="00686863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</w:pPr>
            <w:r w:rsidRPr="00E65486">
              <w:rPr>
                <w:rFonts w:ascii="Book Antiqua" w:eastAsia="Times New Roman" w:hAnsi="Book Antiqua" w:cs="Times New Roman"/>
                <w:b/>
                <w:bCs/>
                <w:sz w:val="18"/>
                <w:szCs w:val="18"/>
                <w:lang w:val="pt-BR" w:eastAsia="pt-BR"/>
              </w:rPr>
              <w:t>Condição de uso:</w:t>
            </w:r>
            <w:r w:rsidRPr="00E65486">
              <w:rPr>
                <w:rFonts w:ascii="Book Antiqua" w:eastAsia="Times New Roman" w:hAnsi="Book Antiqua" w:cs="Times New Roman"/>
                <w:sz w:val="18"/>
                <w:szCs w:val="18"/>
                <w:lang w:val="pt-BR" w:eastAsia="pt-BR"/>
              </w:rPr>
              <w:t xml:space="preserve"> equipamento novo, de primeiro uso, em linha de produção atual, com nota fiscal e garantia do fabricante.</w:t>
            </w:r>
          </w:p>
          <w:p w:rsidR="00686863" w:rsidRPr="00E65486" w:rsidRDefault="00686863" w:rsidP="00686863">
            <w:pPr>
              <w:pStyle w:val="NormalWeb"/>
              <w:rPr>
                <w:rFonts w:ascii="Book Antiqua" w:hAnsi="Book Antiqu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E65486">
              <w:rPr>
                <w:rFonts w:ascii="Book Antiqua" w:hAnsi="Book Antiqua" w:cs="Arial"/>
                <w:sz w:val="18"/>
                <w:szCs w:val="18"/>
              </w:rPr>
              <w:lastRenderedPageBreak/>
              <w:t>LG/ TCL/Sansung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rPr>
                <w:rFonts w:ascii="Book Antiqua" w:hAnsi="Book Antiqua"/>
                <w:iCs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63" w:rsidRPr="00031D09" w:rsidRDefault="00686863" w:rsidP="00686863">
            <w:pPr>
              <w:rPr>
                <w:rFonts w:ascii="Book Antiqua" w:hAnsi="Book Antiqua"/>
                <w:iCs/>
                <w:sz w:val="20"/>
                <w:szCs w:val="20"/>
              </w:rPr>
            </w:pPr>
          </w:p>
        </w:tc>
      </w:tr>
    </w:tbl>
    <w:p w:rsidR="00135182" w:rsidRPr="00031D09" w:rsidRDefault="00135182" w:rsidP="00135182">
      <w:pPr>
        <w:rPr>
          <w:rFonts w:ascii="Book Antiqua" w:hAnsi="Book Antiqua"/>
          <w:sz w:val="20"/>
          <w:szCs w:val="20"/>
        </w:rPr>
      </w:pPr>
    </w:p>
    <w:p w:rsidR="00135182" w:rsidRPr="00031D09" w:rsidRDefault="00135182" w:rsidP="00135182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31D09">
        <w:rPr>
          <w:rFonts w:ascii="Book Antiqua" w:hAnsi="Book Antiqua"/>
          <w:sz w:val="20"/>
          <w:szCs w:val="20"/>
        </w:rPr>
        <w:t>Declaramos que estamos de acordo com todas as condições inseridas no Termo de Referência e seus anexos.</w:t>
      </w:r>
    </w:p>
    <w:p w:rsidR="00135182" w:rsidRPr="00031D09" w:rsidRDefault="00135182" w:rsidP="00135182">
      <w:pPr>
        <w:spacing w:line="360" w:lineRule="auto"/>
        <w:rPr>
          <w:rFonts w:ascii="Book Antiqua" w:hAnsi="Book Antiqua"/>
          <w:sz w:val="20"/>
          <w:szCs w:val="20"/>
        </w:rPr>
      </w:pPr>
    </w:p>
    <w:p w:rsidR="00135182" w:rsidRPr="00031D09" w:rsidRDefault="00135182" w:rsidP="00135182">
      <w:pPr>
        <w:spacing w:line="360" w:lineRule="auto"/>
        <w:rPr>
          <w:rFonts w:ascii="Book Antiqua" w:hAnsi="Book Antiqua"/>
          <w:sz w:val="20"/>
          <w:szCs w:val="20"/>
        </w:rPr>
      </w:pPr>
      <w:r w:rsidRPr="00031D09">
        <w:rPr>
          <w:rFonts w:ascii="Book Antiqua" w:hAnsi="Book Antiqua"/>
          <w:sz w:val="20"/>
          <w:szCs w:val="20"/>
        </w:rPr>
        <w:t>_____________-SP, _____de _________________de 2025.</w:t>
      </w:r>
    </w:p>
    <w:p w:rsidR="00135182" w:rsidRPr="00031D09" w:rsidRDefault="00135182" w:rsidP="00135182">
      <w:pPr>
        <w:spacing w:line="360" w:lineRule="auto"/>
        <w:rPr>
          <w:rFonts w:ascii="Book Antiqua" w:hAnsi="Book Antiqua"/>
          <w:sz w:val="20"/>
          <w:szCs w:val="20"/>
        </w:rPr>
      </w:pPr>
    </w:p>
    <w:p w:rsidR="00135182" w:rsidRPr="00031D09" w:rsidRDefault="00135182" w:rsidP="00135182">
      <w:pPr>
        <w:spacing w:line="360" w:lineRule="auto"/>
        <w:rPr>
          <w:rFonts w:ascii="Book Antiqua" w:hAnsi="Book Antiqua"/>
          <w:sz w:val="20"/>
          <w:szCs w:val="20"/>
        </w:rPr>
      </w:pPr>
    </w:p>
    <w:p w:rsidR="00135182" w:rsidRPr="00031D09" w:rsidRDefault="00135182" w:rsidP="00135182">
      <w:pPr>
        <w:spacing w:line="360" w:lineRule="auto"/>
        <w:rPr>
          <w:rFonts w:ascii="Book Antiqua" w:hAnsi="Book Antiqua"/>
          <w:b/>
          <w:bCs/>
          <w:sz w:val="20"/>
          <w:szCs w:val="20"/>
        </w:rPr>
      </w:pPr>
      <w:r w:rsidRPr="00031D09">
        <w:rPr>
          <w:rFonts w:ascii="Book Antiqua" w:hAnsi="Book Antiqua"/>
          <w:b/>
          <w:bCs/>
          <w:sz w:val="20"/>
          <w:szCs w:val="20"/>
        </w:rPr>
        <w:t>_________________________________</w:t>
      </w:r>
    </w:p>
    <w:p w:rsidR="00135182" w:rsidRPr="00031D09" w:rsidRDefault="00135182" w:rsidP="00135182">
      <w:pPr>
        <w:spacing w:line="360" w:lineRule="auto"/>
        <w:rPr>
          <w:rFonts w:ascii="Book Antiqua" w:hAnsi="Book Antiqua"/>
          <w:b/>
          <w:bCs/>
          <w:sz w:val="20"/>
          <w:szCs w:val="20"/>
        </w:rPr>
      </w:pPr>
      <w:r w:rsidRPr="00031D09">
        <w:rPr>
          <w:rFonts w:ascii="Book Antiqua" w:hAnsi="Book Antiqua"/>
          <w:b/>
          <w:bCs/>
          <w:sz w:val="20"/>
          <w:szCs w:val="20"/>
        </w:rPr>
        <w:t>Nome do responsável</w:t>
      </w:r>
    </w:p>
    <w:p w:rsidR="00135182" w:rsidRPr="00031D09" w:rsidRDefault="00135182" w:rsidP="00135182">
      <w:pPr>
        <w:spacing w:line="360" w:lineRule="auto"/>
        <w:rPr>
          <w:rFonts w:ascii="Book Antiqua" w:hAnsi="Book Antiqua"/>
          <w:b/>
          <w:bCs/>
          <w:sz w:val="20"/>
          <w:szCs w:val="20"/>
        </w:rPr>
      </w:pPr>
      <w:r w:rsidRPr="00031D09">
        <w:rPr>
          <w:rFonts w:ascii="Book Antiqua" w:hAnsi="Book Antiqua"/>
          <w:b/>
          <w:bCs/>
          <w:sz w:val="20"/>
          <w:szCs w:val="20"/>
        </w:rPr>
        <w:t>CPF</w:t>
      </w:r>
    </w:p>
    <w:p w:rsidR="00135182" w:rsidRPr="00031D09" w:rsidRDefault="00135182" w:rsidP="00135182">
      <w:pPr>
        <w:spacing w:line="360" w:lineRule="auto"/>
        <w:rPr>
          <w:rFonts w:ascii="Book Antiqua" w:hAnsi="Book Antiqua"/>
          <w:sz w:val="20"/>
          <w:szCs w:val="20"/>
        </w:rPr>
      </w:pPr>
      <w:r w:rsidRPr="00031D09">
        <w:rPr>
          <w:rFonts w:ascii="Book Antiqua" w:hAnsi="Book Antiqua"/>
          <w:b/>
          <w:bCs/>
          <w:sz w:val="20"/>
          <w:szCs w:val="20"/>
        </w:rPr>
        <w:t xml:space="preserve"> RG.</w:t>
      </w:r>
    </w:p>
    <w:p w:rsidR="00135182" w:rsidRPr="00031D09" w:rsidRDefault="00135182" w:rsidP="00135182">
      <w:pPr>
        <w:rPr>
          <w:rFonts w:ascii="Book Antiqua" w:hAnsi="Book Antiqua"/>
          <w:sz w:val="20"/>
          <w:szCs w:val="20"/>
        </w:rPr>
      </w:pPr>
    </w:p>
    <w:p w:rsidR="00697579" w:rsidRPr="00031D09" w:rsidRDefault="00697579">
      <w:pPr>
        <w:rPr>
          <w:rFonts w:ascii="Book Antiqua" w:hAnsi="Book Antiqua"/>
          <w:sz w:val="20"/>
          <w:szCs w:val="20"/>
        </w:rPr>
      </w:pPr>
    </w:p>
    <w:sectPr w:rsidR="00697579" w:rsidRPr="00031D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54FFA"/>
    <w:multiLevelType w:val="multilevel"/>
    <w:tmpl w:val="F1A0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24E91"/>
    <w:multiLevelType w:val="multilevel"/>
    <w:tmpl w:val="C622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B8662E"/>
    <w:multiLevelType w:val="multilevel"/>
    <w:tmpl w:val="60E8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BC13A6"/>
    <w:multiLevelType w:val="multilevel"/>
    <w:tmpl w:val="DF6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82"/>
    <w:rsid w:val="00031D09"/>
    <w:rsid w:val="00135182"/>
    <w:rsid w:val="004A3415"/>
    <w:rsid w:val="00686863"/>
    <w:rsid w:val="00697579"/>
    <w:rsid w:val="00A447C2"/>
    <w:rsid w:val="00A74FE0"/>
    <w:rsid w:val="00B5799B"/>
    <w:rsid w:val="00DE537B"/>
    <w:rsid w:val="00E6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FBD4"/>
  <w15:chartTrackingRefBased/>
  <w15:docId w15:val="{B4DB6FF6-06EA-4C43-BAB4-4DF7100C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GARAMOND"/>
    <w:qFormat/>
    <w:rsid w:val="004A341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351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31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31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6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2025-11-13T14:01:00Z</dcterms:created>
  <dcterms:modified xsi:type="dcterms:W3CDTF">2025-11-17T19:06:00Z</dcterms:modified>
</cp:coreProperties>
</file>